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825" w:before="0" w:after="150"/>
        <w:ind w:right="0" w:hanging="0"/>
        <w:jc w:val="center"/>
        <w:outlineLvl w:val="0"/>
        <w:rPr/>
      </w:pPr>
      <w:r>
        <w:rPr>
          <w:rFonts w:eastAsia="Times New Roman" w:cs="Arial" w:ascii="Arial" w:hAnsi="Arial"/>
          <w:b/>
          <w:bCs/>
          <w:color w:val="292929"/>
          <w:kern w:val="2"/>
          <w:sz w:val="60"/>
          <w:szCs w:val="60"/>
          <w:lang w:eastAsia="ru-RU"/>
        </w:rPr>
        <w:t>Разъяснение Комиссии по этике и стандартам о пределах рассмотрения дисциплинарного дела в квалификационной комиссии</w:t>
      </w:r>
    </w:p>
    <w:p>
      <w:pPr>
        <w:pStyle w:val="Normal"/>
        <w:shd w:val="clear" w:color="auto" w:fill="FFFFFF"/>
        <w:ind w:right="480" w:hanging="0"/>
        <w:jc w:val="center"/>
        <w:textAlignment w:val="center"/>
        <w:rPr/>
      </w:pPr>
      <w:r>
        <w:rPr>
          <w:rFonts w:eastAsia="Times New Roman" w:cs="Arial" w:ascii="Arial" w:hAnsi="Arial"/>
          <w:color w:val="999999"/>
          <w:sz w:val="18"/>
          <w:szCs w:val="18"/>
          <w:lang w:eastAsia="ru-RU"/>
        </w:rPr>
        <w:t>25 декабря 2020 г.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righ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Утверждено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righ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Решением Совета ФПА РФ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righ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25 декабря 2020 г.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>
          <w:rFonts w:eastAsia="Times New Roman"/>
          <w:color w:val="292929"/>
          <w:sz w:val="27"/>
          <w:szCs w:val="27"/>
          <w:lang w:eastAsia="ru-RU"/>
        </w:rPr>
      </w:pPr>
      <w:r>
        <w:rPr>
          <w:rFonts w:eastAsia="Times New Roman"/>
          <w:color w:val="292929"/>
          <w:sz w:val="27"/>
          <w:szCs w:val="27"/>
          <w:lang w:eastAsia="ru-RU"/>
        </w:rPr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В порядке пункта 5 статьи 18.2 Кодекса профессиональной этики адвоката Комиссия Федеральной палаты адвокатов Российской Федерации по этике и стандартам дает следующее разъяснение о пределах рассмотрения дисциплинарного дела при разбирательстве в квалификационной комиссии адвокатской палаты субъекта Российской Федерации.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Согласно подпункту 6 пункта 2 статьи 20 Кодекса профессиональной этики адвоката жалоба, представление, обращение признаются допустимыми поводами для возбуждения дисциплинарного производства, если в них указаны конкретные действия (бездействие) адвоката, в которых выразилось нарушение им требований законодательства об адвокатской деятельности и адвокатуре и (или) Кодекса профессиональной этики адвоката.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В силу пункта 4 статьи 23 Кодекса профессиональной этики адвоката разбирательство в квалификационной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Из приведенных норм следует, что иные выявленные в ходе дисциплинарного разбирательства нарушения квалификационной комиссией не рассматриваются.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При этом отсутствие в заключении квалификационной комиссии оценки нарушений, не указанных в жалобе, представлении, обращении и выявленных в ходе разбирательства, не препятствует новому сообщению в адвокатскую палату, содержащему указание на такие нарушения, в том числе в виде новой жалобы доверителя адвоката, представления вице-президента адвокатской палаты или уполномоченного в области адвокатуры органа государственной власти.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Настоящее Разъяснение вступает в силу и становится обязательным для всех адвокатских палат и адвокатов после утверждения Советом Федеральной палаты адвокатов Российской Федерации и опубликования на официальном сайте Федеральной палаты адвокатов Российской Федерации в сети «Интернет».</w:t>
      </w:r>
    </w:p>
    <w:p>
      <w:pPr>
        <w:pStyle w:val="Normal"/>
        <w:shd w:val="clear" w:color="auto" w:fill="FFFFFF"/>
        <w:spacing w:lineRule="atLeast" w:line="345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После вступления в силу настоящее Разъяснение подлежит опубликованию в издании «Вестник Федеральной палаты адвокатов Российской Федерации» и в издании «Адвокатская газета».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825" w:before="0" w:after="150"/>
        <w:ind w:right="0" w:hanging="0"/>
        <w:jc w:val="center"/>
        <w:outlineLvl w:val="0"/>
        <w:rPr>
          <w:rFonts w:ascii="Arial" w:hAnsi="Arial" w:eastAsia="Times New Roman" w:cs="Arial"/>
          <w:b/>
          <w:b/>
          <w:bCs/>
          <w:color w:val="292929"/>
          <w:kern w:val="2"/>
          <w:sz w:val="60"/>
          <w:szCs w:val="60"/>
          <w:lang w:eastAsia="ru-RU"/>
        </w:rPr>
      </w:pPr>
      <w:r>
        <w:rPr>
          <w:rFonts w:eastAsia="Times New Roman" w:cs="Arial" w:ascii="Arial" w:hAnsi="Arial"/>
          <w:b/>
          <w:bCs/>
          <w:color w:val="292929"/>
          <w:kern w:val="2"/>
          <w:sz w:val="60"/>
          <w:szCs w:val="60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825" w:before="0" w:after="150"/>
        <w:ind w:right="0" w:hanging="0"/>
        <w:jc w:val="center"/>
        <w:outlineLvl w:val="0"/>
        <w:rPr>
          <w:rFonts w:ascii="Arial" w:hAnsi="Arial" w:eastAsia="Times New Roman" w:cs="Arial"/>
          <w:b/>
          <w:b/>
          <w:bCs/>
          <w:color w:val="292929"/>
          <w:kern w:val="2"/>
          <w:sz w:val="60"/>
          <w:szCs w:val="60"/>
          <w:lang w:eastAsia="ru-RU"/>
        </w:rPr>
      </w:pPr>
      <w:r>
        <w:rPr>
          <w:rFonts w:eastAsia="Times New Roman" w:cs="Arial" w:ascii="Arial" w:hAnsi="Arial"/>
          <w:b/>
          <w:bCs/>
          <w:color w:val="292929"/>
          <w:kern w:val="2"/>
          <w:sz w:val="60"/>
          <w:szCs w:val="60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825" w:before="0" w:after="150"/>
        <w:ind w:right="0" w:hanging="0"/>
        <w:jc w:val="center"/>
        <w:outlineLvl w:val="0"/>
        <w:rPr>
          <w:rFonts w:ascii="Arial" w:hAnsi="Arial" w:eastAsia="Times New Roman" w:cs="Arial"/>
          <w:b/>
          <w:b/>
          <w:bCs/>
          <w:color w:val="292929"/>
          <w:kern w:val="2"/>
          <w:sz w:val="60"/>
          <w:szCs w:val="60"/>
          <w:lang w:eastAsia="ru-RU"/>
        </w:rPr>
      </w:pPr>
      <w:r>
        <w:rPr>
          <w:rFonts w:eastAsia="Times New Roman" w:cs="Arial" w:ascii="Arial" w:hAnsi="Arial"/>
          <w:b/>
          <w:bCs/>
          <w:color w:val="292929"/>
          <w:kern w:val="2"/>
          <w:sz w:val="60"/>
          <w:szCs w:val="60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825" w:before="0" w:after="150"/>
        <w:ind w:right="0" w:hanging="0"/>
        <w:jc w:val="center"/>
        <w:outlineLvl w:val="0"/>
        <w:rPr>
          <w:rFonts w:ascii="Arial" w:hAnsi="Arial" w:eastAsia="Times New Roman" w:cs="Arial"/>
          <w:b/>
          <w:b/>
          <w:bCs/>
          <w:color w:val="292929"/>
          <w:kern w:val="2"/>
          <w:sz w:val="60"/>
          <w:szCs w:val="60"/>
          <w:lang w:eastAsia="ru-RU"/>
        </w:rPr>
      </w:pPr>
      <w:r>
        <w:rPr>
          <w:rFonts w:eastAsia="Times New Roman" w:cs="Arial" w:ascii="Arial" w:hAnsi="Arial"/>
          <w:b/>
          <w:bCs/>
          <w:color w:val="292929"/>
          <w:kern w:val="2"/>
          <w:sz w:val="60"/>
          <w:szCs w:val="60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825" w:before="0" w:after="150"/>
        <w:ind w:right="0" w:hanging="0"/>
        <w:jc w:val="center"/>
        <w:outlineLvl w:val="0"/>
        <w:rPr>
          <w:rFonts w:ascii="Arial" w:hAnsi="Arial" w:eastAsia="Times New Roman" w:cs="Arial"/>
          <w:b/>
          <w:b/>
          <w:bCs/>
          <w:color w:val="292929"/>
          <w:kern w:val="2"/>
          <w:sz w:val="60"/>
          <w:szCs w:val="60"/>
          <w:lang w:eastAsia="ru-RU"/>
        </w:rPr>
      </w:pPr>
      <w:r>
        <w:rPr>
          <w:rFonts w:eastAsia="Times New Roman" w:cs="Arial" w:ascii="Arial" w:hAnsi="Arial"/>
          <w:b/>
          <w:bCs/>
          <w:color w:val="292929"/>
          <w:kern w:val="2"/>
          <w:sz w:val="60"/>
          <w:szCs w:val="60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825" w:before="0" w:after="150"/>
        <w:ind w:right="0" w:hanging="0"/>
        <w:jc w:val="center"/>
        <w:outlineLvl w:val="0"/>
        <w:rPr>
          <w:rFonts w:ascii="Arial" w:hAnsi="Arial" w:eastAsia="Times New Roman" w:cs="Arial"/>
          <w:b/>
          <w:b/>
          <w:bCs/>
          <w:color w:val="292929"/>
          <w:kern w:val="2"/>
          <w:sz w:val="60"/>
          <w:szCs w:val="60"/>
          <w:lang w:eastAsia="ru-RU"/>
        </w:rPr>
      </w:pPr>
      <w:r>
        <w:rPr>
          <w:rFonts w:eastAsia="Times New Roman" w:cs="Arial" w:ascii="Arial" w:hAnsi="Arial"/>
          <w:b/>
          <w:bCs/>
          <w:color w:val="292929"/>
          <w:kern w:val="2"/>
          <w:sz w:val="60"/>
          <w:szCs w:val="60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825" w:before="0" w:after="150"/>
        <w:ind w:right="0" w:hanging="0"/>
        <w:jc w:val="center"/>
        <w:outlineLvl w:val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935eb"/>
    <w:pPr>
      <w:widowControl/>
      <w:bidi w:val="0"/>
      <w:spacing w:lineRule="auto" w:line="240" w:before="0" w:after="0"/>
      <w:ind w:right="-6" w:firstLine="709"/>
      <w:jc w:val="both"/>
    </w:pPr>
    <w:rPr>
      <w:rFonts w:ascii="Times New Roman" w:hAnsi="Times New Roman" w:cs="Times New Roman" w:eastAsia="Calibri"/>
      <w:color w:val="000000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935eb"/>
    <w:rPr>
      <w:rFonts w:ascii="Segoe UI" w:hAnsi="Segoe UI" w:cs="Segoe UI"/>
      <w:color w:val="000000"/>
      <w:sz w:val="18"/>
      <w:szCs w:val="18"/>
    </w:rPr>
  </w:style>
  <w:style w:type="character" w:styleId="ListLabel1">
    <w:name w:val="ListLabel 1"/>
    <w:qFormat/>
    <w:rPr>
      <w:rFonts w:eastAsia="Times New Roman"/>
      <w:color w:val="C9984E"/>
      <w:sz w:val="27"/>
      <w:szCs w:val="27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935e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Application>LibreOffice/6.2.4.2$Windows_x86 LibreOffice_project/2412653d852ce75f65fbfa83fb7e7b669a126d64</Application>
  <Pages>2</Pages>
  <Words>276</Words>
  <Characters>1986</Characters>
  <CharactersWithSpaces>2250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2021-04-19T11:44:00Z</dcterms:created>
  <dc:creator>Admin</dc:creator>
  <dc:description/>
  <dc:language>de-DE</dc:language>
  <cp:lastModifiedBy/>
  <cp:lastPrinted>2021-04-19T11:54:00Z</cp:lastPrinted>
  <dcterms:modified xsi:type="dcterms:W3CDTF">2021-04-21T12:09:03Z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