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по вопросу допустимости обращения адвокатов в правоохранительные органы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17 апреля 2019 г.</w:t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rFonts w:eastAsia="Times New Roman" w:cs="Arial" w:ascii="Arial" w:hAnsi="Arial"/>
          <w:color w:val="4B4B4B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00"/>
        <w:ind w:right="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 xml:space="preserve">№ </w:t>
      </w: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>03/19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center"/>
        <w:rPr/>
      </w:pP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Разъяснение Комиссии ФПА РФ по этике и стандартам</w:t>
        <w:br/>
        <w:t>от 17 апреля 2019 г. № 03/19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center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 вопросу допустимости обращения адвокатов в правоохранительные органы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Утверждено</w:t>
      </w:r>
      <w:r>
        <w:rPr>
          <w:rFonts w:eastAsia="Times New Roman"/>
          <w:color w:val="292929"/>
          <w:sz w:val="27"/>
          <w:szCs w:val="27"/>
          <w:lang w:eastAsia="ru-RU"/>
        </w:rPr>
        <w:br/>
      </w: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Решением Совета ФПА РФ</w:t>
        <w:br/>
        <w:t>от 17 апреля 2019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в ответ на запросы Адвокатской палаты Воронежской области, Адвокатской палаты Московской области, Адвокатской палаты Республики Башкортостан Комиссия Федеральной палаты адвокатов РФ по этике и стандартам дает следующее разъяснение по вопросу допустимости обращения адвокатов в правоохранительные органы с требованием проведения проверки в отношении органов адвокатского самоуправления.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Не вызывает сомнений, что обращение адвокатов в органы государственной власти, а тем более в правоохранительные органы с заявлением о проведении проверки в отношении органов адвокатского самоуправления заслуживает безусловного осуждения со стороны адвокатского сообщества. Российская адвокатура неуклонно привержена традициям и ценностям профессии, среди которых основополагающими являются ее гуманистический, правозаступнический характер, следование принципу корпоративности, а также забота адвокатов об авторитете адвокатуры. Доверительные и уважительные отношения между адвокатами являются одним из необходимых условий существования и деятельности адвокатского сообщества.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Принципиально важным является следование этим традициям и ценностям в любой публичной активности членов адвокатской корпорации и, прежде всего, при взаимодействии с правоохранительными органами. Требование или призыв ко вмешательству в деятельность органов адвокатского самоуправления либо осуществлению в отношении них проверочных и контрольных мероприятий органами государственной власти, в том числе осуществляющими уголовное преследование, ведет к подрыву принципов независимости и корпоративности и недопустимо для членов адвокатского сообщества.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Такого рода обращения адвокатов в органы государственной власти либо в правоохранительные органы демонстрируют полное пренебрежение моральными традициями адвокатуры и требованиями профессиональной этики. Все указанное усугубляется в том случае, когда авторы подобных обращений не являются членами той адвокатской палаты, положение дел в которой должно явиться, по их мнению, предметом проверки. Подобное вмешательство адвокатов в деятельность иной адвокатской палаты, особенно с привлечением следственных органов, насаждает чуждую адвокатуре атмосферу подозрительности и доносительства.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Такое поведение адвоката прямо противоречит пункту 2 статьи 5 Кодекса профессиональной этики адвоката, согласно которому адвокат должен избегать действий (бездействия), направленных к подрыву доверия к нему или к адвокатуре. Кроме того, пункт 5 статьи 9 Кодекса профессиональной этики адвоката содержит принципиальное указание о том, что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 Как указано в Разъяснении Комиссии Федеральной палаты адвокатов по этике и стандартам № 02/18 по вопросам применения п. 2 ст. 5 и п. 5 ст. 9 Кодекса профессиональной этики адвоката поведение адвоката вне профессиональной деятельности, которое наносит ущерб авторитету адвокатуры или подрывает доверие к ней, может квалифицироваться органами адвокатского самоуправления в качестве нарушения правил профессиональной этики при условии, что принадлежность такого лица к адвокатскому сообществу очевидна или это следует из его поведения.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Указанные нарушения законодательства об адвокатуре и адвокатской деятельности и норм профессиональной этики адвоката должны становиться поводом для дисциплинарного реагирования уполномоченных органов адвокатского самоуправления и возможного привлечения адвокатов к дисциплинарной ответственности.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LibreOffice/6.2.4.2$Windows_x86 LibreOffice_project/2412653d852ce75f65fbfa83fb7e7b669a126d64</Application>
  <Pages>3</Pages>
  <Words>565</Words>
  <Characters>4002</Characters>
  <CharactersWithSpaces>4554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2021-04-21T12:16:33Z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